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b/>
          <w:bCs/>
          <w:sz w:val="44"/>
          <w:szCs w:val="44"/>
          <w:lang w:eastAsia="zh-CN"/>
        </w:rPr>
      </w:pPr>
      <w:r>
        <w:rPr>
          <w:rFonts w:hint="eastAsia" w:ascii="宋体" w:hAnsi="宋体" w:eastAsia="宋体" w:cs="宋体"/>
          <w:b/>
          <w:bCs/>
          <w:sz w:val="44"/>
          <w:szCs w:val="44"/>
        </w:rPr>
        <w:t>关于芜湖中燃</w:t>
      </w:r>
      <w:r>
        <w:rPr>
          <w:rFonts w:hint="eastAsia" w:ascii="宋体" w:hAnsi="宋体" w:eastAsia="宋体" w:cs="宋体"/>
          <w:b/>
          <w:bCs/>
          <w:sz w:val="44"/>
          <w:szCs w:val="44"/>
          <w:lang w:eastAsia="zh-CN"/>
        </w:rPr>
        <w:t>使用武煤百江阿波罗公司</w:t>
      </w:r>
    </w:p>
    <w:p>
      <w:pPr>
        <w:jc w:val="center"/>
        <w:rPr>
          <w:rFonts w:hint="eastAsia" w:ascii="宋体" w:hAnsi="宋体" w:eastAsia="宋体" w:cs="宋体"/>
          <w:b/>
          <w:bCs/>
          <w:sz w:val="44"/>
          <w:szCs w:val="44"/>
        </w:rPr>
      </w:pPr>
      <w:r>
        <w:rPr>
          <w:rFonts w:hint="eastAsia" w:ascii="宋体" w:hAnsi="宋体" w:eastAsia="宋体" w:cs="宋体"/>
          <w:b/>
          <w:bCs/>
          <w:sz w:val="44"/>
          <w:szCs w:val="44"/>
        </w:rPr>
        <w:t>钢塑转换产品情况的报告</w:t>
      </w:r>
    </w:p>
    <w:p>
      <w:pPr>
        <w:rPr>
          <w:rFonts w:hint="eastAsia"/>
        </w:rPr>
      </w:pP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事件经过</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1、10月26日晚，从集团及华东区域获悉，武煤百江阿波罗公司（以下简称武煤百江）钢塑转换产品在芜湖中燃使用过程中出现漏气问题。</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2、武煤百江对接服务人员当即与芜湖中燃联系，明确表示马上前往芜湖中燃现场，芜湖中燃说明这几天相关人员均不在芜湖，约定10月31日到芜湖中燃。</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3、10月30日武煤百江相关人员到达芜湖（同时带了2个同型号的钢转产品，准备更换2个有问题的产品），与芜湖中燃确定在第二天（10月31日）到芜湖中燃处理问题。</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4、10月31日，双方现场了解、沟通相关情况，在锯断钢塑转换与相连接的管件过程中，发生钢塑转换的PE件与钢管件脱落。</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1770" cy="2372995"/>
            <wp:effectExtent l="0" t="0" r="5080" b="8255"/>
            <wp:docPr id="1" name="图片 1" descr="脱落后的钢塑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脱落后的钢塑转换"/>
                    <pic:cNvPicPr>
                      <a:picLocks noChangeAspect="1"/>
                    </pic:cNvPicPr>
                  </pic:nvPicPr>
                  <pic:blipFill>
                    <a:blip r:embed="rId4"/>
                    <a:stretch>
                      <a:fillRect/>
                    </a:stretch>
                  </pic:blipFill>
                  <pic:spPr>
                    <a:xfrm>
                      <a:off x="0" y="0"/>
                      <a:ext cx="5271770" cy="2372995"/>
                    </a:xfrm>
                    <a:prstGeom prst="rect">
                      <a:avLst/>
                    </a:prstGeom>
                  </pic:spPr>
                </pic:pic>
              </a:graphicData>
            </a:graphic>
          </wp:inline>
        </w:drawing>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5、脱落后的PE管件内发现有融化、流质状的问题，内衬加强钢套发生大幅度纵向位移（沿PE管方向），内衬加强钢套内壁环氧树脂漆严重起泡、脱皮等，武煤百江人员当场询问相关情况，未获答案。</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6、武煤百江人员与芜湖中燃人员办理相关手续后，将上述钢塑转换（二个问题产品中的一个）带回。</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7、11月1日晚，华东区域中心将欲自行采购钢塑转换产品的公司及产品清单发至武煤百江，11月2日上午，武煤百江出具同意函，同意华东区域的相关产品按集团规定外采。</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11月2日，武煤百江公司常务副总经理、阿波罗公司董事长焦阳带队再次前往芜湖中燃，希望共同分析、查找原因，以求问题的全面解决。武煤百江希望现场将未使用过的315/325钢塑转换进行焊接施工，还原施工状态，未果。</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9、武煤百江人员于11月3日返回，寻求第三方对产品进行检测、分析。</w:t>
      </w: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样品检测</w:t>
      </w:r>
    </w:p>
    <w:p>
      <w:pPr>
        <w:numPr>
          <w:ilvl w:val="0"/>
          <w:numId w:val="2"/>
        </w:numPr>
        <w:ind w:firstLine="420"/>
        <w:rPr>
          <w:rFonts w:hint="eastAsia" w:ascii="宋体" w:hAnsi="宋体" w:eastAsia="宋体" w:cs="宋体"/>
          <w:b/>
          <w:bCs/>
          <w:sz w:val="28"/>
          <w:szCs w:val="28"/>
          <w:lang w:eastAsia="zh-CN"/>
        </w:rPr>
      </w:pPr>
      <w:r>
        <w:rPr>
          <w:rFonts w:hint="eastAsia" w:ascii="宋体" w:hAnsi="宋体" w:eastAsia="宋体" w:cs="宋体"/>
          <w:b/>
          <w:bCs/>
          <w:sz w:val="28"/>
          <w:szCs w:val="28"/>
          <w:lang w:val="en-US" w:eastAsia="zh-CN"/>
        </w:rPr>
        <w:t>外形尺寸：</w:t>
      </w:r>
    </w:p>
    <w:p>
      <w:pPr>
        <w:numPr>
          <w:ilvl w:val="0"/>
          <w:numId w:val="0"/>
        </w:numPr>
        <w:rPr>
          <w:rFonts w:hint="eastAsia" w:ascii="宋体" w:hAnsi="宋体" w:eastAsia="宋体" w:cs="宋体"/>
          <w:sz w:val="28"/>
          <w:szCs w:val="28"/>
          <w:lang w:eastAsia="zh-CN"/>
        </w:rPr>
      </w:pPr>
      <w:r>
        <w:rPr>
          <w:rFonts w:hint="eastAsia" w:ascii="宋体" w:hAnsi="宋体" w:eastAsia="宋体" w:cs="宋体"/>
          <w:b w:val="0"/>
          <w:bCs w:val="0"/>
          <w:sz w:val="28"/>
          <w:szCs w:val="28"/>
          <w:lang w:val="en-US" w:eastAsia="zh-CN"/>
        </w:rPr>
        <w:t xml:space="preserve">   </w:t>
      </w:r>
      <w:r>
        <w:rPr>
          <w:rFonts w:hint="eastAsia" w:ascii="宋体" w:hAnsi="宋体" w:eastAsia="宋体" w:cs="宋体"/>
          <w:sz w:val="28"/>
          <w:szCs w:val="28"/>
          <w:lang w:eastAsia="zh-CN"/>
        </w:rPr>
        <w:t>符合产品要求。</w:t>
      </w:r>
    </w:p>
    <w:p>
      <w:pPr>
        <w:numPr>
          <w:ilvl w:val="0"/>
          <w:numId w:val="2"/>
        </w:numPr>
        <w:ind w:firstLine="420"/>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外观检测：</w:t>
      </w:r>
    </w:p>
    <w:p>
      <w:pPr>
        <w:numPr>
          <w:ilvl w:val="0"/>
          <w:numId w:val="0"/>
        </w:numPr>
        <w:rPr>
          <w:rFonts w:hint="eastAsia" w:ascii="宋体" w:hAnsi="宋体" w:eastAsia="宋体" w:cs="宋体"/>
          <w:color w:val="auto"/>
          <w:sz w:val="28"/>
          <w:szCs w:val="28"/>
          <w:shd w:val="clear" w:color="auto" w:fill="auto"/>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1</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内衬加强钢套向PE管端发生纵向位移56</w:t>
      </w:r>
      <w:r>
        <w:rPr>
          <w:rFonts w:hint="eastAsia" w:ascii="宋体" w:hAnsi="宋体" w:eastAsia="宋体" w:cs="宋体"/>
          <w:color w:val="auto"/>
          <w:sz w:val="28"/>
          <w:szCs w:val="28"/>
          <w:shd w:val="clear" w:color="auto" w:fill="auto"/>
          <w:lang w:val="en-US" w:eastAsia="zh-CN"/>
        </w:rPr>
        <w:t>mm。详见照片一</w:t>
      </w:r>
    </w:p>
    <w:p>
      <w:pPr>
        <w:numPr>
          <w:ilvl w:val="0"/>
          <w:numId w:val="0"/>
        </w:numPr>
        <w:rPr>
          <w:rFonts w:hint="eastAsia" w:ascii="宋体" w:hAnsi="宋体" w:eastAsia="宋体" w:cs="宋体"/>
          <w:color w:val="auto"/>
          <w:sz w:val="28"/>
          <w:szCs w:val="28"/>
          <w:shd w:val="clear" w:color="auto" w:fill="auto"/>
          <w:lang w:val="en-US" w:eastAsia="zh-CN"/>
        </w:rPr>
      </w:pPr>
      <w:r>
        <w:rPr>
          <w:rFonts w:hint="eastAsia" w:ascii="宋体" w:hAnsi="宋体" w:eastAsia="宋体" w:cs="宋体"/>
          <w:color w:val="auto"/>
          <w:sz w:val="28"/>
          <w:szCs w:val="28"/>
          <w:shd w:val="clear" w:color="auto" w:fill="auto"/>
          <w:lang w:val="en-US" w:eastAsia="zh-CN"/>
        </w:rPr>
        <w:drawing>
          <wp:inline distT="0" distB="0" distL="114300" distR="114300">
            <wp:extent cx="5270500" cy="3336925"/>
            <wp:effectExtent l="0" t="0" r="6350" b="15875"/>
            <wp:docPr id="2" name="图片 2" descr="照片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照片一"/>
                    <pic:cNvPicPr>
                      <a:picLocks noChangeAspect="1"/>
                    </pic:cNvPicPr>
                  </pic:nvPicPr>
                  <pic:blipFill>
                    <a:blip r:embed="rId5"/>
                    <a:stretch>
                      <a:fillRect/>
                    </a:stretch>
                  </pic:blipFill>
                  <pic:spPr>
                    <a:xfrm>
                      <a:off x="0" y="0"/>
                      <a:ext cx="5270500" cy="3336925"/>
                    </a:xfrm>
                    <a:prstGeom prst="rect">
                      <a:avLst/>
                    </a:prstGeom>
                  </pic:spPr>
                </pic:pic>
              </a:graphicData>
            </a:graphic>
          </wp:inline>
        </w:drawing>
      </w:r>
    </w:p>
    <w:p>
      <w:pPr>
        <w:numPr>
          <w:ilvl w:val="0"/>
          <w:numId w:val="0"/>
        </w:numPr>
        <w:rPr>
          <w:rFonts w:hint="eastAsia" w:ascii="宋体" w:hAnsi="宋体" w:eastAsia="宋体" w:cs="宋体"/>
          <w:color w:val="auto"/>
          <w:sz w:val="28"/>
          <w:szCs w:val="28"/>
          <w:shd w:val="clear" w:color="auto" w:fill="auto"/>
          <w:lang w:val="en-US" w:eastAsia="zh-CN"/>
        </w:rPr>
      </w:pPr>
      <w:r>
        <w:rPr>
          <w:rFonts w:hint="eastAsia" w:ascii="宋体" w:hAnsi="宋体" w:eastAsia="宋体" w:cs="宋体"/>
          <w:color w:val="auto"/>
          <w:sz w:val="28"/>
          <w:szCs w:val="28"/>
          <w:shd w:val="clear" w:color="auto" w:fill="auto"/>
          <w:lang w:val="en-US" w:eastAsia="zh-CN"/>
        </w:rPr>
        <w:t xml:space="preserve">                 </w:t>
      </w:r>
      <w:r>
        <w:rPr>
          <w:rFonts w:hint="eastAsia" w:ascii="宋体" w:hAnsi="宋体" w:eastAsia="宋体" w:cs="宋体"/>
          <w:b/>
          <w:bCs/>
          <w:color w:val="auto"/>
          <w:sz w:val="28"/>
          <w:szCs w:val="28"/>
          <w:shd w:val="clear" w:color="auto" w:fill="auto"/>
          <w:lang w:val="en-US" w:eastAsia="zh-CN"/>
        </w:rPr>
        <w:t xml:space="preserve">    照 片 一</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color w:val="0000FF"/>
          <w:sz w:val="28"/>
          <w:szCs w:val="28"/>
          <w:lang w:val="en-US" w:eastAsia="zh-CN"/>
        </w:rPr>
        <w:t xml:space="preserve"> </w:t>
      </w:r>
      <w:r>
        <w:rPr>
          <w:rFonts w:hint="eastAsia" w:ascii="宋体" w:hAnsi="宋体" w:eastAsia="宋体" w:cs="宋体"/>
          <w:color w:val="auto"/>
          <w:sz w:val="28"/>
          <w:szCs w:val="28"/>
          <w:lang w:val="en-US" w:eastAsia="zh-CN"/>
        </w:rPr>
        <w:t xml:space="preserve">  （2）</w:t>
      </w:r>
      <w:r>
        <w:rPr>
          <w:rFonts w:hint="eastAsia" w:ascii="宋体" w:hAnsi="宋体" w:eastAsia="宋体" w:cs="宋体"/>
          <w:sz w:val="28"/>
          <w:szCs w:val="28"/>
          <w:lang w:val="en-US" w:eastAsia="zh-CN"/>
        </w:rPr>
        <w:t>内衬加强钢套内侧发现局部（约</w:t>
      </w:r>
      <w:r>
        <w:rPr>
          <w:rFonts w:hint="eastAsia" w:ascii="宋体" w:hAnsi="宋体" w:eastAsia="宋体" w:cs="宋体"/>
          <w:sz w:val="28"/>
          <w:szCs w:val="28"/>
        </w:rPr>
        <w:t>100*</w:t>
      </w:r>
      <w:r>
        <w:rPr>
          <w:rFonts w:hint="eastAsia" w:ascii="宋体" w:hAnsi="宋体" w:eastAsia="宋体" w:cs="宋体"/>
          <w:sz w:val="28"/>
          <w:szCs w:val="28"/>
          <w:lang w:val="en-US" w:eastAsia="zh-CN"/>
        </w:rPr>
        <w:t>20</w:t>
      </w:r>
      <w:r>
        <w:rPr>
          <w:rFonts w:hint="eastAsia" w:ascii="宋体" w:hAnsi="宋体" w:eastAsia="宋体" w:cs="宋体"/>
          <w:sz w:val="28"/>
          <w:szCs w:val="28"/>
        </w:rPr>
        <w:t>0</w:t>
      </w:r>
      <w:r>
        <w:rPr>
          <w:rFonts w:hint="eastAsia" w:ascii="宋体" w:hAnsi="宋体" w:eastAsia="宋体" w:cs="宋体"/>
          <w:sz w:val="28"/>
          <w:szCs w:val="28"/>
          <w:lang w:val="en-US" w:eastAsia="zh-CN"/>
        </w:rPr>
        <w:t>mm）环氧树脂漆严重起泡、脱皮等现象。详见照片二</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3040" cy="3776345"/>
            <wp:effectExtent l="0" t="0" r="3810" b="14605"/>
            <wp:docPr id="3" name="图片 3" descr="照片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照片二"/>
                    <pic:cNvPicPr>
                      <a:picLocks noChangeAspect="1"/>
                    </pic:cNvPicPr>
                  </pic:nvPicPr>
                  <pic:blipFill>
                    <a:blip r:embed="rId6"/>
                    <a:stretch>
                      <a:fillRect/>
                    </a:stretch>
                  </pic:blipFill>
                  <pic:spPr>
                    <a:xfrm>
                      <a:off x="0" y="0"/>
                      <a:ext cx="5273040" cy="3776345"/>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 xml:space="preserve"> 照 片 二</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（3）内衬加强钢套两端有PE管融化物流出。详见照片三</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1135" cy="3265805"/>
            <wp:effectExtent l="0" t="0" r="5715" b="10795"/>
            <wp:docPr id="4" name="图片 4" descr="照片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照片三"/>
                    <pic:cNvPicPr>
                      <a:picLocks noChangeAspect="1"/>
                    </pic:cNvPicPr>
                  </pic:nvPicPr>
                  <pic:blipFill>
                    <a:blip r:embed="rId7"/>
                    <a:stretch>
                      <a:fillRect/>
                    </a:stretch>
                  </pic:blipFill>
                  <pic:spPr>
                    <a:xfrm>
                      <a:off x="0" y="0"/>
                      <a:ext cx="5271135" cy="3265805"/>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照 片 三</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（4）内衬加强钢套位置的PE管内侧（与内衬加强钢套接触的部分）有融化、流质状，外侧（与钢管件接触的部分）无融化现象。详见照片四</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229735" cy="3696970"/>
            <wp:effectExtent l="0" t="0" r="18415" b="17780"/>
            <wp:docPr id="5" name="图片 5" descr="照片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照片四"/>
                    <pic:cNvPicPr>
                      <a:picLocks noChangeAspect="1"/>
                    </pic:cNvPicPr>
                  </pic:nvPicPr>
                  <pic:blipFill>
                    <a:blip r:embed="rId8"/>
                    <a:stretch>
                      <a:fillRect/>
                    </a:stretch>
                  </pic:blipFill>
                  <pic:spPr>
                    <a:xfrm>
                      <a:off x="0" y="0"/>
                      <a:ext cx="4229735" cy="3696970"/>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照 片 四</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（5）钢塑转换的钢管件在焊接过后，钢管件上的环氧树脂漆完好；钢管件与内衬加强钢套的材质一样、环氧树脂漆及其涂装工艺一样。详见照片五</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124960" cy="2553335"/>
            <wp:effectExtent l="0" t="0" r="8890" b="18415"/>
            <wp:docPr id="6" name="图片 6" descr="照片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照片五"/>
                    <pic:cNvPicPr>
                      <a:picLocks noChangeAspect="1"/>
                    </pic:cNvPicPr>
                  </pic:nvPicPr>
                  <pic:blipFill>
                    <a:blip r:embed="rId9"/>
                    <a:stretch>
                      <a:fillRect/>
                    </a:stretch>
                  </pic:blipFill>
                  <pic:spPr>
                    <a:xfrm>
                      <a:off x="0" y="0"/>
                      <a:ext cx="4124960" cy="2553335"/>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 xml:space="preserve"> 照 片 五</w:t>
      </w:r>
    </w:p>
    <w:p>
      <w:pPr>
        <w:numPr>
          <w:ilvl w:val="0"/>
          <w:numId w:val="2"/>
        </w:numPr>
        <w:ind w:firstLine="420" w:firstLineChars="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材质检测：</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（1）PE管材材质检测数据详见检测报告，符合国家标准（PE100）。</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69230" cy="8523605"/>
            <wp:effectExtent l="0" t="0" r="7620" b="10795"/>
            <wp:docPr id="10" name="图片 10" descr="PE管材质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E管材质报告"/>
                    <pic:cNvPicPr>
                      <a:picLocks noChangeAspect="1"/>
                    </pic:cNvPicPr>
                  </pic:nvPicPr>
                  <pic:blipFill>
                    <a:blip r:embed="rId10"/>
                    <a:stretch>
                      <a:fillRect/>
                    </a:stretch>
                  </pic:blipFill>
                  <pic:spPr>
                    <a:xfrm>
                      <a:off x="0" y="0"/>
                      <a:ext cx="5269230" cy="8523605"/>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（2）钢材材质检测数据详见检测报告，符合国家标准（20号钢）。</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2665095" cy="3693795"/>
            <wp:effectExtent l="0" t="0" r="1905" b="1905"/>
            <wp:docPr id="8" name="图片 8" descr="钢材材质报告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钢材材质报告1"/>
                    <pic:cNvPicPr>
                      <a:picLocks noChangeAspect="1"/>
                    </pic:cNvPicPr>
                  </pic:nvPicPr>
                  <pic:blipFill>
                    <a:blip r:embed="rId11"/>
                    <a:stretch>
                      <a:fillRect/>
                    </a:stretch>
                  </pic:blipFill>
                  <pic:spPr>
                    <a:xfrm>
                      <a:off x="0" y="0"/>
                      <a:ext cx="2665095" cy="3693795"/>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2543810" cy="3684905"/>
            <wp:effectExtent l="0" t="0" r="8890" b="10795"/>
            <wp:docPr id="9" name="图片 9" descr="钢材材质报告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钢材材质报告2"/>
                    <pic:cNvPicPr>
                      <a:picLocks noChangeAspect="1"/>
                    </pic:cNvPicPr>
                  </pic:nvPicPr>
                  <pic:blipFill>
                    <a:blip r:embed="rId12"/>
                    <a:stretch>
                      <a:fillRect/>
                    </a:stretch>
                  </pic:blipFill>
                  <pic:spPr>
                    <a:xfrm>
                      <a:off x="0" y="0"/>
                      <a:ext cx="2543810" cy="3684905"/>
                    </a:xfrm>
                    <a:prstGeom prst="rect">
                      <a:avLst/>
                    </a:prstGeom>
                  </pic:spPr>
                </pic:pic>
              </a:graphicData>
            </a:graphic>
          </wp:inline>
        </w:drawing>
      </w: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施工现场</w:t>
      </w:r>
    </w:p>
    <w:p>
      <w:pPr>
        <w:numPr>
          <w:ilvl w:val="0"/>
          <w:numId w:val="0"/>
        </w:numPr>
        <w:ind w:firstLine="56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施工现场为水平向施工，即钢塑转换在焊接施工时为水平方向。详见照片六</w:t>
      </w:r>
    </w:p>
    <w:p>
      <w:pPr>
        <w:numPr>
          <w:ilvl w:val="0"/>
          <w:numId w:val="0"/>
        </w:numPr>
        <w:ind w:firstLine="56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210685" cy="2781935"/>
            <wp:effectExtent l="0" t="0" r="18415" b="18415"/>
            <wp:docPr id="7" name="图片 7" descr="照片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照片六"/>
                    <pic:cNvPicPr>
                      <a:picLocks noChangeAspect="1"/>
                    </pic:cNvPicPr>
                  </pic:nvPicPr>
                  <pic:blipFill>
                    <a:blip r:embed="rId13"/>
                    <a:stretch>
                      <a:fillRect/>
                    </a:stretch>
                  </pic:blipFill>
                  <pic:spPr>
                    <a:xfrm>
                      <a:off x="0" y="0"/>
                      <a:ext cx="4210685" cy="2781935"/>
                    </a:xfrm>
                    <a:prstGeom prst="rect">
                      <a:avLst/>
                    </a:prstGeom>
                  </pic:spPr>
                </pic:pic>
              </a:graphicData>
            </a:graphic>
          </wp:inline>
        </w:drawing>
      </w:r>
    </w:p>
    <w:p>
      <w:pPr>
        <w:numPr>
          <w:ilvl w:val="0"/>
          <w:numId w:val="0"/>
        </w:numPr>
        <w:ind w:firstLine="56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 xml:space="preserve">    照 片 六</w:t>
      </w: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施工试验</w:t>
      </w:r>
    </w:p>
    <w:p>
      <w:pPr>
        <w:numPr>
          <w:ilvl w:val="0"/>
          <w:numId w:val="0"/>
        </w:numPr>
        <w:ind w:firstLine="560"/>
        <w:rPr>
          <w:rFonts w:hint="eastAsia" w:ascii="宋体" w:hAnsi="宋体" w:eastAsia="宋体" w:cs="宋体"/>
          <w:sz w:val="28"/>
          <w:szCs w:val="28"/>
          <w:lang w:val="en-US" w:eastAsia="zh-CN"/>
        </w:rPr>
      </w:pPr>
      <w:r>
        <w:rPr>
          <w:rFonts w:hint="eastAsia" w:ascii="宋体" w:hAnsi="宋体" w:eastAsia="宋体" w:cs="宋体"/>
          <w:b w:val="0"/>
          <w:bCs w:val="0"/>
          <w:sz w:val="28"/>
          <w:szCs w:val="28"/>
          <w:lang w:val="en-US" w:eastAsia="zh-CN"/>
        </w:rPr>
        <w:t>武煤百江将与芜湖中燃使用的相同型号的</w:t>
      </w:r>
      <w:r>
        <w:rPr>
          <w:rFonts w:hint="eastAsia" w:ascii="宋体" w:hAnsi="宋体" w:eastAsia="宋体" w:cs="宋体"/>
          <w:sz w:val="28"/>
          <w:szCs w:val="28"/>
          <w:lang w:val="en-US" w:eastAsia="zh-CN"/>
        </w:rPr>
        <w:t>315/325钢塑转换进行焊接施工，焊接完成后钢管件部分可以立即用手正常触摸，钢塑转换完好。详见焊接视频截图（有完整视频，容量太大，不能发送）</w:t>
      </w:r>
    </w:p>
    <w:p>
      <w:pPr>
        <w:numPr>
          <w:ilvl w:val="0"/>
          <w:numId w:val="0"/>
        </w:numPr>
        <w:ind w:left="-16" w:leftChars="-8" w:firstLine="238"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2609850" cy="2620645"/>
            <wp:effectExtent l="0" t="0" r="0" b="8255"/>
            <wp:docPr id="11" name="图片 11" descr="3ee2dc19c6570eb7d2b25daee5b1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ee2dc19c6570eb7d2b25daee5b1cad"/>
                    <pic:cNvPicPr>
                      <a:picLocks noChangeAspect="1"/>
                    </pic:cNvPicPr>
                  </pic:nvPicPr>
                  <pic:blipFill>
                    <a:blip r:embed="rId14"/>
                    <a:stretch>
                      <a:fillRect/>
                    </a:stretch>
                  </pic:blipFill>
                  <pic:spPr>
                    <a:xfrm>
                      <a:off x="0" y="0"/>
                      <a:ext cx="2609850" cy="2620645"/>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2409825" cy="2611120"/>
            <wp:effectExtent l="0" t="0" r="9525" b="17780"/>
            <wp:docPr id="16" name="图片 16" descr="beffb9f361a91b24de05bfc376978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effb9f361a91b24de05bfc376978b5"/>
                    <pic:cNvPicPr>
                      <a:picLocks noChangeAspect="1"/>
                    </pic:cNvPicPr>
                  </pic:nvPicPr>
                  <pic:blipFill>
                    <a:blip r:embed="rId15"/>
                    <a:stretch>
                      <a:fillRect/>
                    </a:stretch>
                  </pic:blipFill>
                  <pic:spPr>
                    <a:xfrm>
                      <a:off x="0" y="0"/>
                      <a:ext cx="2409825" cy="2611120"/>
                    </a:xfrm>
                    <a:prstGeom prst="rect">
                      <a:avLst/>
                    </a:prstGeom>
                  </pic:spPr>
                </pic:pic>
              </a:graphicData>
            </a:graphic>
          </wp:inline>
        </w:drawing>
      </w:r>
    </w:p>
    <w:p>
      <w:pPr>
        <w:numPr>
          <w:ilvl w:val="0"/>
          <w:numId w:val="0"/>
        </w:numPr>
        <w:ind w:left="0" w:leftChars="0" w:firstLine="2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2609850" cy="2847340"/>
            <wp:effectExtent l="0" t="0" r="0" b="10160"/>
            <wp:docPr id="13" name="图片 13" descr="7ec3f1e1ae5948cb411c33852d2e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ec3f1e1ae5948cb411c33852d2e248"/>
                    <pic:cNvPicPr>
                      <a:picLocks noChangeAspect="1"/>
                    </pic:cNvPicPr>
                  </pic:nvPicPr>
                  <pic:blipFill>
                    <a:blip r:embed="rId16"/>
                    <a:stretch>
                      <a:fillRect/>
                    </a:stretch>
                  </pic:blipFill>
                  <pic:spPr>
                    <a:xfrm>
                      <a:off x="0" y="0"/>
                      <a:ext cx="2609850" cy="2847340"/>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2429510" cy="2839085"/>
            <wp:effectExtent l="0" t="0" r="8890" b="18415"/>
            <wp:docPr id="14" name="图片 14" descr="9639eed83b3fb832d40d286057463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639eed83b3fb832d40d2860574632e"/>
                    <pic:cNvPicPr>
                      <a:picLocks noChangeAspect="1"/>
                    </pic:cNvPicPr>
                  </pic:nvPicPr>
                  <pic:blipFill>
                    <a:blip r:embed="rId17"/>
                    <a:stretch>
                      <a:fillRect/>
                    </a:stretch>
                  </pic:blipFill>
                  <pic:spPr>
                    <a:xfrm>
                      <a:off x="0" y="0"/>
                      <a:ext cx="2429510" cy="2839085"/>
                    </a:xfrm>
                    <a:prstGeom prst="rect">
                      <a:avLst/>
                    </a:prstGeom>
                  </pic:spPr>
                </pic:pic>
              </a:graphicData>
            </a:graphic>
          </wp:inline>
        </w:drawing>
      </w:r>
    </w:p>
    <w:p>
      <w:pPr>
        <w:numPr>
          <w:ilvl w:val="0"/>
          <w:numId w:val="0"/>
        </w:numPr>
        <w:ind w:firstLine="560"/>
        <w:rPr>
          <w:rFonts w:hint="eastAsia" w:ascii="宋体" w:hAnsi="宋体" w:eastAsia="宋体" w:cs="宋体"/>
          <w:sz w:val="28"/>
          <w:szCs w:val="28"/>
          <w:lang w:val="en-US" w:eastAsia="zh-CN"/>
        </w:rPr>
      </w:pPr>
    </w:p>
    <w:p>
      <w:pPr>
        <w:numPr>
          <w:ilvl w:val="0"/>
          <w:numId w:val="0"/>
        </w:numPr>
        <w:ind w:firstLine="560"/>
        <w:rPr>
          <w:rFonts w:hint="eastAsia" w:ascii="宋体" w:hAnsi="宋体" w:eastAsia="宋体" w:cs="宋体"/>
          <w:sz w:val="28"/>
          <w:szCs w:val="28"/>
          <w:lang w:val="en-US" w:eastAsia="zh-CN"/>
        </w:rPr>
      </w:pPr>
    </w:p>
    <w:p>
      <w:pPr>
        <w:numPr>
          <w:ilvl w:val="0"/>
          <w:numId w:val="0"/>
        </w:numPr>
        <w:ind w:firstLine="560"/>
        <w:rPr>
          <w:rFonts w:hint="eastAsia" w:ascii="宋体" w:hAnsi="宋体" w:eastAsia="宋体" w:cs="宋体"/>
          <w:sz w:val="28"/>
          <w:szCs w:val="28"/>
          <w:lang w:val="en-US" w:eastAsia="zh-CN"/>
        </w:rPr>
      </w:pPr>
    </w:p>
    <w:p>
      <w:pPr>
        <w:numPr>
          <w:ilvl w:val="0"/>
          <w:numId w:val="0"/>
        </w:numPr>
        <w:ind w:firstLine="560"/>
        <w:rPr>
          <w:rFonts w:hint="eastAsia" w:ascii="宋体" w:hAnsi="宋体" w:eastAsia="宋体" w:cs="宋体"/>
          <w:sz w:val="28"/>
          <w:szCs w:val="28"/>
          <w:lang w:val="en-US" w:eastAsia="zh-CN"/>
        </w:rPr>
      </w:pPr>
    </w:p>
    <w:p>
      <w:pPr>
        <w:numPr>
          <w:ilvl w:val="0"/>
          <w:numId w:val="0"/>
        </w:numPr>
        <w:ind w:firstLine="560"/>
        <w:rPr>
          <w:rFonts w:hint="eastAsia" w:ascii="宋体" w:hAnsi="宋体" w:eastAsia="宋体" w:cs="宋体"/>
          <w:sz w:val="28"/>
          <w:szCs w:val="28"/>
          <w:lang w:val="en-US" w:eastAsia="zh-CN"/>
        </w:rPr>
      </w:pP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分析判断</w:t>
      </w:r>
    </w:p>
    <w:p>
      <w:pPr>
        <w:numPr>
          <w:ilvl w:val="0"/>
          <w:numId w:val="0"/>
        </w:numPr>
        <w:rPr>
          <w:rFonts w:hint="eastAsia" w:ascii="宋体" w:hAnsi="宋体" w:eastAsia="宋体" w:cs="宋体"/>
          <w:b w:val="0"/>
          <w:bCs w:val="0"/>
          <w:sz w:val="28"/>
          <w:szCs w:val="28"/>
          <w:lang w:val="en-US" w:eastAsia="zh-CN"/>
        </w:rPr>
      </w:pPr>
      <w:r>
        <w:rPr>
          <w:rFonts w:hint="eastAsia" w:ascii="宋体" w:hAnsi="宋体" w:eastAsia="宋体" w:cs="宋体"/>
          <w:b/>
          <w:bCs/>
          <w:sz w:val="28"/>
          <w:szCs w:val="28"/>
          <w:lang w:val="en-US" w:eastAsia="zh-CN"/>
        </w:rPr>
        <w:t xml:space="preserve"> </w:t>
      </w:r>
      <w:r>
        <w:rPr>
          <w:rFonts w:hint="eastAsia" w:ascii="宋体" w:hAnsi="宋体" w:eastAsia="宋体" w:cs="宋体"/>
          <w:b w:val="0"/>
          <w:bCs w:val="0"/>
          <w:sz w:val="28"/>
          <w:szCs w:val="28"/>
          <w:lang w:val="en-US" w:eastAsia="zh-CN"/>
        </w:rPr>
        <w:t xml:space="preserve">   根据上述信息，作出如下分析、判断：</w:t>
      </w:r>
    </w:p>
    <w:p>
      <w:pPr>
        <w:numPr>
          <w:ilvl w:val="0"/>
          <w:numId w:val="3"/>
        </w:numPr>
        <w:ind w:firstLine="42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内衬加强钢套向PE管端发生纵向位移：是由于对应部分的PE管融化，且钢塑转换处于纵向（直立或近似于直立）位置时所产生；而现场的施工管位为横向（水平）位置，正常施工情况下是不会发生纵向位移的。</w:t>
      </w:r>
    </w:p>
    <w:p>
      <w:pPr>
        <w:numPr>
          <w:ilvl w:val="0"/>
          <w:numId w:val="0"/>
        </w:numPr>
        <w:ind w:firstLine="42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2、内衬加强钢套内侧（距</w:t>
      </w:r>
      <w:r>
        <w:rPr>
          <w:rFonts w:hint="eastAsia" w:ascii="宋体" w:hAnsi="宋体" w:eastAsia="宋体" w:cs="宋体"/>
          <w:color w:val="auto"/>
          <w:sz w:val="28"/>
          <w:szCs w:val="28"/>
          <w:lang w:val="en-US" w:eastAsia="zh-CN"/>
        </w:rPr>
        <w:t>离焊接处约400mm</w:t>
      </w:r>
      <w:r>
        <w:rPr>
          <w:rFonts w:hint="eastAsia" w:ascii="宋体" w:hAnsi="宋体" w:eastAsia="宋体" w:cs="宋体"/>
          <w:sz w:val="28"/>
          <w:szCs w:val="28"/>
          <w:lang w:val="en-US" w:eastAsia="zh-CN"/>
        </w:rPr>
        <w:t>）发现局部（约</w:t>
      </w:r>
      <w:r>
        <w:rPr>
          <w:rFonts w:hint="eastAsia" w:ascii="宋体" w:hAnsi="宋体" w:eastAsia="宋体" w:cs="宋体"/>
          <w:sz w:val="28"/>
          <w:szCs w:val="28"/>
        </w:rPr>
        <w:t>100*</w:t>
      </w:r>
      <w:r>
        <w:rPr>
          <w:rFonts w:hint="eastAsia" w:ascii="宋体" w:hAnsi="宋体" w:eastAsia="宋体" w:cs="宋体"/>
          <w:sz w:val="28"/>
          <w:szCs w:val="28"/>
          <w:lang w:val="en-US" w:eastAsia="zh-CN"/>
        </w:rPr>
        <w:t>20</w:t>
      </w:r>
      <w:r>
        <w:rPr>
          <w:rFonts w:hint="eastAsia" w:ascii="宋体" w:hAnsi="宋体" w:eastAsia="宋体" w:cs="宋体"/>
          <w:sz w:val="28"/>
          <w:szCs w:val="28"/>
        </w:rPr>
        <w:t>0</w:t>
      </w:r>
      <w:r>
        <w:rPr>
          <w:rFonts w:hint="eastAsia" w:ascii="宋体" w:hAnsi="宋体" w:eastAsia="宋体" w:cs="宋体"/>
          <w:sz w:val="28"/>
          <w:szCs w:val="28"/>
          <w:lang w:val="en-US" w:eastAsia="zh-CN"/>
        </w:rPr>
        <w:t>mm）环氧树脂漆严重起泡、脱皮：是由于较长时间受到高温（300℃以上）烘烤所致；而距离焊接处更近的整个钢管件的环氧树脂漆品相完好。</w:t>
      </w:r>
    </w:p>
    <w:p>
      <w:pPr>
        <w:numPr>
          <w:ilvl w:val="0"/>
          <w:numId w:val="0"/>
        </w:numPr>
        <w:ind w:firstLine="42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内衬加强钢套两端及其原位置的PE管内侧（与内衬加强钢套接触的部分）有融化、流质状，外侧（与钢管件接触的部分）无融化现象：是由于此段PE管受到210℃左右高温较长时间持续加热所致,且热源来自于PE管内侧。而焊接的钢管是位于PE管的外侧，</w:t>
      </w:r>
      <w:bookmarkStart w:id="0" w:name="_GoBack"/>
      <w:bookmarkEnd w:id="0"/>
      <w:r>
        <w:rPr>
          <w:rFonts w:hint="eastAsia" w:ascii="宋体" w:hAnsi="宋体" w:eastAsia="宋体" w:cs="宋体"/>
          <w:sz w:val="28"/>
          <w:szCs w:val="28"/>
          <w:lang w:val="en-US" w:eastAsia="zh-CN"/>
        </w:rPr>
        <w:t>正常焊接时，与钢管紧配合的PE管部分的外侧温度应该高于内侧问题，不会出现PE管外侧没有融化而内侧融化的现象。</w:t>
      </w:r>
    </w:p>
    <w:p>
      <w:pPr>
        <w:numPr>
          <w:ilvl w:val="0"/>
          <w:numId w:val="0"/>
        </w:numPr>
        <w:ind w:firstLine="42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根据相同型号产品的焊接试验，焊接完成后钢管件可以立即用手触摸（详见视频及截图），说明触摸部分温度不高，不会达到210℃左右高温将钢管件末端的PE管融化，更不可能将远距离的，且与钢管件没有直接接触的内衬加强钢套的环氧树脂烘烤至起泡、脱皮。</w:t>
      </w:r>
    </w:p>
    <w:p>
      <w:pPr>
        <w:numPr>
          <w:ilvl w:val="0"/>
          <w:numId w:val="0"/>
        </w:numPr>
        <w:ind w:firstLine="421"/>
        <w:rPr>
          <w:rFonts w:hint="eastAsia" w:ascii="宋体" w:hAnsi="宋体" w:eastAsia="宋体" w:cs="宋体"/>
          <w:sz w:val="28"/>
          <w:szCs w:val="28"/>
          <w:lang w:val="en-US" w:eastAsia="zh-CN"/>
        </w:rPr>
      </w:pPr>
    </w:p>
    <w:p>
      <w:pPr>
        <w:numPr>
          <w:ilvl w:val="0"/>
          <w:numId w:val="0"/>
        </w:numPr>
        <w:ind w:firstLine="421"/>
        <w:rPr>
          <w:rFonts w:hint="eastAsia" w:ascii="宋体" w:hAnsi="宋体" w:eastAsia="宋体" w:cs="宋体"/>
          <w:b/>
          <w:bCs/>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5、由于PE管融化，内衬加强钢套移位，导致该钢塑转换的PE管与钢管的紧配合失去作用，出现漏气，并在锯断震动过程中出现脱落。</w:t>
      </w:r>
    </w:p>
    <w:p>
      <w:pPr>
        <w:numPr>
          <w:ilvl w:val="0"/>
          <w:numId w:val="0"/>
        </w:numPr>
        <w:ind w:firstLine="421"/>
        <w:rPr>
          <w:rFonts w:hint="eastAsia" w:ascii="宋体" w:hAnsi="宋体" w:eastAsia="宋体" w:cs="宋体"/>
          <w:b/>
          <w:bCs/>
          <w:sz w:val="28"/>
          <w:szCs w:val="28"/>
          <w:lang w:val="en-US" w:eastAsia="zh-CN"/>
        </w:rPr>
      </w:pP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事件结论</w:t>
      </w:r>
    </w:p>
    <w:p>
      <w:pPr>
        <w:numPr>
          <w:ilvl w:val="0"/>
          <w:numId w:val="0"/>
        </w:numPr>
        <w:ind w:firstLine="42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综上所述，导致此次问题的原因是非正常施工。</w:t>
      </w:r>
    </w:p>
    <w:p>
      <w:pPr>
        <w:numPr>
          <w:ilvl w:val="0"/>
          <w:numId w:val="0"/>
        </w:numPr>
        <w:ind w:firstLine="420"/>
        <w:rPr>
          <w:rFonts w:hint="eastAsia" w:ascii="宋体" w:hAnsi="宋体" w:eastAsia="宋体" w:cs="宋体"/>
          <w:b w:val="0"/>
          <w:bCs w:val="0"/>
          <w:sz w:val="28"/>
          <w:szCs w:val="28"/>
          <w:lang w:val="en-US" w:eastAsia="zh-CN"/>
        </w:rPr>
      </w:pPr>
    </w:p>
    <w:p>
      <w:pPr>
        <w:numPr>
          <w:ilvl w:val="0"/>
          <w:numId w:val="0"/>
        </w:numPr>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 xml:space="preserve">   特此报告！</w:t>
      </w:r>
    </w:p>
    <w:p>
      <w:pPr>
        <w:numPr>
          <w:ilvl w:val="0"/>
          <w:numId w:val="0"/>
        </w:numPr>
        <w:rPr>
          <w:rFonts w:hint="eastAsia" w:ascii="宋体" w:hAnsi="宋体" w:eastAsia="宋体" w:cs="宋体"/>
          <w:b w:val="0"/>
          <w:bCs w:val="0"/>
          <w:sz w:val="28"/>
          <w:szCs w:val="28"/>
          <w:lang w:val="en-US" w:eastAsia="zh-CN"/>
        </w:rPr>
      </w:pPr>
    </w:p>
    <w:p>
      <w:pPr>
        <w:numPr>
          <w:ilvl w:val="0"/>
          <w:numId w:val="0"/>
        </w:numPr>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 xml:space="preserve">                             武汉武煤百江阿波罗燃气有限公司</w:t>
      </w:r>
    </w:p>
    <w:p>
      <w:pPr>
        <w:numPr>
          <w:ilvl w:val="0"/>
          <w:numId w:val="0"/>
        </w:numPr>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 xml:space="preserve">                                    2018年11月15日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auto"/>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80F3C52" w:usb2="00000016" w:usb3="00000000" w:csb0="0004001F" w:csb1="0000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E4E495"/>
    <w:multiLevelType w:val="singleLevel"/>
    <w:tmpl w:val="5BE4E495"/>
    <w:lvl w:ilvl="0" w:tentative="0">
      <w:start w:val="1"/>
      <w:numFmt w:val="chineseCounting"/>
      <w:suff w:val="nothing"/>
      <w:lvlText w:val="%1、"/>
      <w:lvlJc w:val="left"/>
    </w:lvl>
  </w:abstractNum>
  <w:abstractNum w:abstractNumId="1">
    <w:nsid w:val="5BE8FE91"/>
    <w:multiLevelType w:val="singleLevel"/>
    <w:tmpl w:val="5BE8FE91"/>
    <w:lvl w:ilvl="0" w:tentative="0">
      <w:start w:val="1"/>
      <w:numFmt w:val="decimal"/>
      <w:suff w:val="nothing"/>
      <w:lvlText w:val="%1、"/>
      <w:lvlJc w:val="left"/>
    </w:lvl>
  </w:abstractNum>
  <w:abstractNum w:abstractNumId="2">
    <w:nsid w:val="5BE92F66"/>
    <w:multiLevelType w:val="singleLevel"/>
    <w:tmpl w:val="5BE92F66"/>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17074"/>
    <w:rsid w:val="006B76A6"/>
    <w:rsid w:val="02096AF0"/>
    <w:rsid w:val="02392D88"/>
    <w:rsid w:val="026C7DE5"/>
    <w:rsid w:val="03DD2ECC"/>
    <w:rsid w:val="03DF094A"/>
    <w:rsid w:val="04D24EF3"/>
    <w:rsid w:val="051F6ADE"/>
    <w:rsid w:val="0531050F"/>
    <w:rsid w:val="05CD719E"/>
    <w:rsid w:val="0601292E"/>
    <w:rsid w:val="06453A38"/>
    <w:rsid w:val="066A6D24"/>
    <w:rsid w:val="06DC40E1"/>
    <w:rsid w:val="0710183A"/>
    <w:rsid w:val="071048E9"/>
    <w:rsid w:val="072032AB"/>
    <w:rsid w:val="08374DDC"/>
    <w:rsid w:val="084575BA"/>
    <w:rsid w:val="08CB40B8"/>
    <w:rsid w:val="09671E5B"/>
    <w:rsid w:val="097430E9"/>
    <w:rsid w:val="0BD77AA4"/>
    <w:rsid w:val="0C2953C1"/>
    <w:rsid w:val="0D6069BF"/>
    <w:rsid w:val="0FE91C83"/>
    <w:rsid w:val="10F6528A"/>
    <w:rsid w:val="119B5B8F"/>
    <w:rsid w:val="11C82565"/>
    <w:rsid w:val="11CE215F"/>
    <w:rsid w:val="131C5015"/>
    <w:rsid w:val="1455206D"/>
    <w:rsid w:val="15DC0AB2"/>
    <w:rsid w:val="15F37DBF"/>
    <w:rsid w:val="17207908"/>
    <w:rsid w:val="173F20E4"/>
    <w:rsid w:val="1897749D"/>
    <w:rsid w:val="19486FA0"/>
    <w:rsid w:val="19827910"/>
    <w:rsid w:val="19866116"/>
    <w:rsid w:val="199D6FD6"/>
    <w:rsid w:val="1A2373BB"/>
    <w:rsid w:val="1A5C149B"/>
    <w:rsid w:val="1ADD7175"/>
    <w:rsid w:val="1B4A61EB"/>
    <w:rsid w:val="1C8C264B"/>
    <w:rsid w:val="1D28092C"/>
    <w:rsid w:val="1D9A5344"/>
    <w:rsid w:val="1ED83829"/>
    <w:rsid w:val="1EEA3745"/>
    <w:rsid w:val="1F6276C5"/>
    <w:rsid w:val="1FD108A2"/>
    <w:rsid w:val="1FF819B2"/>
    <w:rsid w:val="201C6217"/>
    <w:rsid w:val="201E1C57"/>
    <w:rsid w:val="20E17229"/>
    <w:rsid w:val="21307D5E"/>
    <w:rsid w:val="2220331E"/>
    <w:rsid w:val="22A876FC"/>
    <w:rsid w:val="2335393C"/>
    <w:rsid w:val="23EE6DA7"/>
    <w:rsid w:val="24145A65"/>
    <w:rsid w:val="245F39D4"/>
    <w:rsid w:val="25A32A17"/>
    <w:rsid w:val="260025F2"/>
    <w:rsid w:val="2696652D"/>
    <w:rsid w:val="26A10BDD"/>
    <w:rsid w:val="26F35D29"/>
    <w:rsid w:val="26F73239"/>
    <w:rsid w:val="2742527D"/>
    <w:rsid w:val="27D55391"/>
    <w:rsid w:val="28D076BC"/>
    <w:rsid w:val="29291D19"/>
    <w:rsid w:val="296A5172"/>
    <w:rsid w:val="2A6D4D67"/>
    <w:rsid w:val="2A7A3A8A"/>
    <w:rsid w:val="2C4530C2"/>
    <w:rsid w:val="2CD36A2E"/>
    <w:rsid w:val="2D1F5871"/>
    <w:rsid w:val="2D7A14DD"/>
    <w:rsid w:val="2E227C07"/>
    <w:rsid w:val="2E772CAB"/>
    <w:rsid w:val="2F4A3992"/>
    <w:rsid w:val="2F5633BD"/>
    <w:rsid w:val="2FA252B1"/>
    <w:rsid w:val="2FE740E7"/>
    <w:rsid w:val="3029779F"/>
    <w:rsid w:val="30B83671"/>
    <w:rsid w:val="30D80A59"/>
    <w:rsid w:val="30F403C6"/>
    <w:rsid w:val="311C4D69"/>
    <w:rsid w:val="31945B0A"/>
    <w:rsid w:val="32757724"/>
    <w:rsid w:val="33B07BC6"/>
    <w:rsid w:val="33EC58F0"/>
    <w:rsid w:val="340061C0"/>
    <w:rsid w:val="346B3A75"/>
    <w:rsid w:val="350F1A63"/>
    <w:rsid w:val="357B0E53"/>
    <w:rsid w:val="35EE6B57"/>
    <w:rsid w:val="35FC5FAF"/>
    <w:rsid w:val="360C27B5"/>
    <w:rsid w:val="36390C7A"/>
    <w:rsid w:val="36922618"/>
    <w:rsid w:val="376C69B1"/>
    <w:rsid w:val="386E4F56"/>
    <w:rsid w:val="3B0C5BC0"/>
    <w:rsid w:val="3B2B2DC1"/>
    <w:rsid w:val="3BF37E49"/>
    <w:rsid w:val="3C0E008C"/>
    <w:rsid w:val="3C5022F6"/>
    <w:rsid w:val="3D2545A9"/>
    <w:rsid w:val="3FAE0FE2"/>
    <w:rsid w:val="41111CE9"/>
    <w:rsid w:val="41C356F7"/>
    <w:rsid w:val="42632FC1"/>
    <w:rsid w:val="43032634"/>
    <w:rsid w:val="435C31A9"/>
    <w:rsid w:val="43E86649"/>
    <w:rsid w:val="45ED3204"/>
    <w:rsid w:val="461C34D8"/>
    <w:rsid w:val="472B64AC"/>
    <w:rsid w:val="48023C4A"/>
    <w:rsid w:val="485324DF"/>
    <w:rsid w:val="486E1814"/>
    <w:rsid w:val="4949303F"/>
    <w:rsid w:val="494C6728"/>
    <w:rsid w:val="4A367971"/>
    <w:rsid w:val="4A667588"/>
    <w:rsid w:val="4A6A0BE8"/>
    <w:rsid w:val="4AB77302"/>
    <w:rsid w:val="4AB841B8"/>
    <w:rsid w:val="4ABE5BE2"/>
    <w:rsid w:val="4C0F6C38"/>
    <w:rsid w:val="4C1C0951"/>
    <w:rsid w:val="4C4A0AB5"/>
    <w:rsid w:val="4C4D52B2"/>
    <w:rsid w:val="4D3B443C"/>
    <w:rsid w:val="4D3C4373"/>
    <w:rsid w:val="4DB94430"/>
    <w:rsid w:val="4DF142A4"/>
    <w:rsid w:val="4E4F56C6"/>
    <w:rsid w:val="4EFF0326"/>
    <w:rsid w:val="4F352F68"/>
    <w:rsid w:val="4F466B91"/>
    <w:rsid w:val="4F9A4FA6"/>
    <w:rsid w:val="50463DEE"/>
    <w:rsid w:val="50C16A05"/>
    <w:rsid w:val="511F09CF"/>
    <w:rsid w:val="5143036F"/>
    <w:rsid w:val="517E762E"/>
    <w:rsid w:val="51B30E4C"/>
    <w:rsid w:val="51BE37A6"/>
    <w:rsid w:val="51ED32AD"/>
    <w:rsid w:val="5208248C"/>
    <w:rsid w:val="525A084B"/>
    <w:rsid w:val="528B4CDB"/>
    <w:rsid w:val="53125680"/>
    <w:rsid w:val="53174211"/>
    <w:rsid w:val="534D7493"/>
    <w:rsid w:val="53870A28"/>
    <w:rsid w:val="53BB28CE"/>
    <w:rsid w:val="53D82B8D"/>
    <w:rsid w:val="54067709"/>
    <w:rsid w:val="543C36D6"/>
    <w:rsid w:val="5481678A"/>
    <w:rsid w:val="54FC2E04"/>
    <w:rsid w:val="551D0C69"/>
    <w:rsid w:val="558258BF"/>
    <w:rsid w:val="55FC5FDA"/>
    <w:rsid w:val="56574B6B"/>
    <w:rsid w:val="56841EB0"/>
    <w:rsid w:val="56D57747"/>
    <w:rsid w:val="584519A6"/>
    <w:rsid w:val="58627A91"/>
    <w:rsid w:val="586C2C92"/>
    <w:rsid w:val="58C31E96"/>
    <w:rsid w:val="58D433F5"/>
    <w:rsid w:val="58D76944"/>
    <w:rsid w:val="58E71674"/>
    <w:rsid w:val="591354A1"/>
    <w:rsid w:val="593412D1"/>
    <w:rsid w:val="59D75E9F"/>
    <w:rsid w:val="5A461BFB"/>
    <w:rsid w:val="5AA65AED"/>
    <w:rsid w:val="5AD329FF"/>
    <w:rsid w:val="5ADB0AF3"/>
    <w:rsid w:val="5C80306F"/>
    <w:rsid w:val="5DA80C9A"/>
    <w:rsid w:val="5DAD58AD"/>
    <w:rsid w:val="5E03050B"/>
    <w:rsid w:val="5F167E99"/>
    <w:rsid w:val="60506CB4"/>
    <w:rsid w:val="61793974"/>
    <w:rsid w:val="61D65CEB"/>
    <w:rsid w:val="625902C3"/>
    <w:rsid w:val="62C84303"/>
    <w:rsid w:val="635C0CE0"/>
    <w:rsid w:val="64502778"/>
    <w:rsid w:val="654269B6"/>
    <w:rsid w:val="6584178B"/>
    <w:rsid w:val="66E759D3"/>
    <w:rsid w:val="67030343"/>
    <w:rsid w:val="67962CCA"/>
    <w:rsid w:val="67E271AD"/>
    <w:rsid w:val="680D77DF"/>
    <w:rsid w:val="693F6D23"/>
    <w:rsid w:val="694951A1"/>
    <w:rsid w:val="69A667DE"/>
    <w:rsid w:val="6A00636F"/>
    <w:rsid w:val="6A0F1DC1"/>
    <w:rsid w:val="6A2F3905"/>
    <w:rsid w:val="6AE236E0"/>
    <w:rsid w:val="6C0A3A5E"/>
    <w:rsid w:val="6CAE26B0"/>
    <w:rsid w:val="6DCE0114"/>
    <w:rsid w:val="6E32169B"/>
    <w:rsid w:val="6EB31E7E"/>
    <w:rsid w:val="6EC83DCC"/>
    <w:rsid w:val="6F530C86"/>
    <w:rsid w:val="6F836B64"/>
    <w:rsid w:val="70724248"/>
    <w:rsid w:val="7103362E"/>
    <w:rsid w:val="71EA645A"/>
    <w:rsid w:val="71F765C9"/>
    <w:rsid w:val="72975C79"/>
    <w:rsid w:val="74FE4FA4"/>
    <w:rsid w:val="76173C3B"/>
    <w:rsid w:val="764E3F05"/>
    <w:rsid w:val="76D23A20"/>
    <w:rsid w:val="7707621C"/>
    <w:rsid w:val="772B0509"/>
    <w:rsid w:val="781A414D"/>
    <w:rsid w:val="78BF5D19"/>
    <w:rsid w:val="79226A9B"/>
    <w:rsid w:val="7A0C0AF6"/>
    <w:rsid w:val="7A165577"/>
    <w:rsid w:val="7ACD1792"/>
    <w:rsid w:val="7B085AD4"/>
    <w:rsid w:val="7B284D13"/>
    <w:rsid w:val="7BE2176E"/>
    <w:rsid w:val="7C511CD9"/>
    <w:rsid w:val="7CB65EA9"/>
    <w:rsid w:val="7CD420C7"/>
    <w:rsid w:val="7CF23987"/>
    <w:rsid w:val="7D0A7685"/>
    <w:rsid w:val="7D5F5947"/>
    <w:rsid w:val="7EB75A66"/>
    <w:rsid w:val="7F0C57B3"/>
    <w:rsid w:val="7F161F35"/>
    <w:rsid w:val="7F3B4A2C"/>
    <w:rsid w:val="7F3D6B36"/>
    <w:rsid w:val="7F6C70C9"/>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Office_10.1.0.6207_F1E327BC-269C-435d-A152-05C5408002CA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2018-11-15T07:34:57Z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